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Субъекты малого и среднего предпринимательства региона активно участвуют в поставках продукции, выполнении работ, оказании услуг в рамках исполнения государственного оборонного заказа.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О том, что договор (контракт) заключен за счет средств государственного оборонного заказа, может свидетельствовать: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- прямое указание на это в его тексте;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- наличие в нём ссылок на Федеральный закон от 29.12.2012 № 275-ФЗ «О государственном оборонном заказе»;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- включение в него сведений об идентификаторе государственного контракта (ИГК);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- информирование заказчиком о заключении контракта в целях выполнения государственного оборонного заказа.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После заключения таких договоров (контрактов) у субъектов предпринимательской деятельности возникает обязанность ведения раздельного учёта результатов финансово-хозяйственной деятельности по каждой сделке, а также наступает риск административной ответственности в случае нарушения сроков его исполнения либо поставки продукции, выполнения работ, оказания услуг ненадлежащего качества.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Перечень основных обязанностей головного исполнителя (исполнителя) предусмотрен статьей 8 Федерального закона от 29.12.2012 № 275-ФЗ «О государственном оборонном заказе». Правила и процедура ведения раздельного учёта утверждены постановлением Правительства Российской Федерации от 19.01.1998 № 47 (в случае осуществления банковских расчётов) и приказом Министерства финансов Российской Федерации от 25.12.2019 № 255н (при казначейском сопровождении).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В основном по причине незнания вышеуказанных требований закона предприниматели привлекаются антимонопольным органом к административной ответственности по ст. 15.37 КоАП РФ (нарушение требований о ведении раздельного учета результатов финансово-хозяйственной деятельности) и ст. 14.55 КоАП РФ (нарушение условий договора, заключенного в целях выполнения государственного оборонного заказа), а также арбитражным судом по ст. 14.49 КоАП РФ (нарушение обязательных требований в отношении оборонной продукции (выполняемых работ, оказываемых услуг).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В ряде случаев размеры назначенных штрафов (от 30 тысяч рублей до 700 тысяч рублей) превышают размеры полученной прибыли по сделкам.</w:t>
      </w:r>
    </w:p>
    <w:p w:rsidR="004F50DB" w:rsidRP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50DB" w:rsidRDefault="004F50DB" w:rsidP="004F5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0DB">
        <w:rPr>
          <w:rFonts w:ascii="Times New Roman" w:hAnsi="Times New Roman" w:cs="Times New Roman"/>
          <w:sz w:val="28"/>
          <w:szCs w:val="28"/>
        </w:rPr>
        <w:t>Надлежащая организация работы и бухгалтерского учёта позволит избежать наступления негативных последствий для бизнеса.</w:t>
      </w:r>
    </w:p>
    <w:p w:rsidR="004F50DB" w:rsidRDefault="004F50DB" w:rsidP="004F50DB">
      <w:pPr>
        <w:rPr>
          <w:rFonts w:ascii="Times New Roman" w:hAnsi="Times New Roman" w:cs="Times New Roman"/>
          <w:sz w:val="28"/>
          <w:szCs w:val="28"/>
        </w:rPr>
      </w:pPr>
    </w:p>
    <w:p w:rsidR="00E54861" w:rsidRPr="004F50DB" w:rsidRDefault="004F50DB" w:rsidP="004F50D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Покровского района Орловской области</w:t>
      </w:r>
      <w:bookmarkStart w:id="0" w:name="_GoBack"/>
      <w:bookmarkEnd w:id="0"/>
    </w:p>
    <w:sectPr w:rsidR="00E54861" w:rsidRPr="004F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0DB"/>
    <w:rsid w:val="004F50DB"/>
    <w:rsid w:val="00E5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2264D-9404-45A4-96BF-381BD69A5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1</cp:revision>
  <dcterms:created xsi:type="dcterms:W3CDTF">2022-11-12T12:46:00Z</dcterms:created>
  <dcterms:modified xsi:type="dcterms:W3CDTF">2022-11-12T12:47:00Z</dcterms:modified>
</cp:coreProperties>
</file>