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CF" w:rsidRPr="00D47BCF" w:rsidRDefault="00D47BCF" w:rsidP="0028701D">
      <w:pPr>
        <w:spacing w:after="0" w:line="240" w:lineRule="auto"/>
        <w:jc w:val="center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С П Р А В К А</w:t>
      </w:r>
    </w:p>
    <w:p w:rsidR="00D47BCF" w:rsidRPr="00D47BCF" w:rsidRDefault="00D47BCF" w:rsidP="0028701D">
      <w:pPr>
        <w:spacing w:after="0" w:line="240" w:lineRule="auto"/>
        <w:jc w:val="center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 xml:space="preserve">о количестве и характере </w:t>
      </w:r>
      <w:proofErr w:type="gramStart"/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обращений  граждан</w:t>
      </w:r>
      <w:proofErr w:type="gramEnd"/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, поступивших за 2020 год</w:t>
      </w:r>
    </w:p>
    <w:p w:rsidR="00D47BCF" w:rsidRDefault="00D47BCF" w:rsidP="0028701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</w:pPr>
      <w:proofErr w:type="gramStart"/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в  Администрацию</w:t>
      </w:r>
      <w:proofErr w:type="gramEnd"/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 xml:space="preserve"> Моховского сельского поселения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</w:p>
    <w:p w:rsidR="00D47BCF" w:rsidRPr="00D47BCF" w:rsidRDefault="00D47BCF" w:rsidP="0028701D">
      <w:pPr>
        <w:spacing w:after="0" w:line="240" w:lineRule="auto"/>
        <w:jc w:val="both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   </w:t>
      </w:r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За 2020 год в Администрацию Моховского сельского поселения поступило </w:t>
      </w: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33 </w:t>
      </w:r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обращения граждан. Письменных обращений граждан -</w:t>
      </w: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 1</w:t>
      </w:r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, устных обращений граждан- </w:t>
      </w: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32.</w:t>
      </w:r>
    </w:p>
    <w:p w:rsidR="00D47BCF" w:rsidRPr="00D47BCF" w:rsidRDefault="0028701D" w:rsidP="0028701D">
      <w:pPr>
        <w:spacing w:after="0" w:line="240" w:lineRule="auto"/>
        <w:jc w:val="both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 xml:space="preserve">  </w:t>
      </w:r>
      <w:r w:rsidR="00D47BCF"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 xml:space="preserve">  Все поступившие обращения рассмотрены в соответствии с ФЗ-59 от 02.05.2006 «О порядке рассмотрения обращений граждан Российской Федерации». Приняты меры согласно имеющимся </w:t>
      </w:r>
      <w:proofErr w:type="gramStart"/>
      <w:r w:rsidR="00D47BCF"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полномочиям  в</w:t>
      </w:r>
      <w:proofErr w:type="gramEnd"/>
      <w:r w:rsidR="00D47BCF"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 xml:space="preserve"> соответствии с Федеральным законом от 06.10.2003  № 131-ФЗ «Об общих принципах организации местного самоуправления в Российской Федерации».</w:t>
      </w:r>
    </w:p>
    <w:p w:rsidR="00D47BCF" w:rsidRPr="00D47BCF" w:rsidRDefault="00D47BCF" w:rsidP="0028701D">
      <w:pPr>
        <w:spacing w:after="0" w:line="240" w:lineRule="auto"/>
        <w:jc w:val="both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  </w:t>
      </w:r>
      <w:proofErr w:type="gramStart"/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Заявления,  поданные</w:t>
      </w:r>
      <w:proofErr w:type="gramEnd"/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 xml:space="preserve">  гражданами в администрацию сельского поселения,  имели следующие содержания: ремонт и содержание дорог в населенных пунктах, обеспечение сжиженным газом, оформление   земельных участков и домов, другие  вопросы.</w:t>
      </w:r>
    </w:p>
    <w:p w:rsidR="00D47BCF" w:rsidRPr="00D47BCF" w:rsidRDefault="00D47BCF" w:rsidP="0028701D">
      <w:pPr>
        <w:spacing w:after="0" w:line="240" w:lineRule="auto"/>
        <w:jc w:val="center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Итоги рассмотрения обращений граждан за 2020 год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 В администрацию сельского поселения поступило 33 обращений граждан.</w:t>
      </w:r>
    </w:p>
    <w:p w:rsidR="00D47BCF" w:rsidRPr="00D47BCF" w:rsidRDefault="00D47BCF" w:rsidP="0028701D">
      <w:pPr>
        <w:spacing w:after="0" w:line="240" w:lineRule="auto"/>
        <w:jc w:val="center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Справка о количестве устных обращений.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Всего устных обращений 32: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- 16 (обеспечение сжиженным газом-решены положительно)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 xml:space="preserve">- 2 (ремонт дорог – </w:t>
      </w:r>
      <w:proofErr w:type="gramStart"/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решены  положительно</w:t>
      </w:r>
      <w:proofErr w:type="gramEnd"/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)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 xml:space="preserve">- 1 (обследование квартиры для проведения капитального ремонта – </w:t>
      </w:r>
      <w:proofErr w:type="gramStart"/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решены  положительно</w:t>
      </w:r>
      <w:proofErr w:type="gramEnd"/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)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- 1 (выделение жилья – направлено для рассмотрения в жилищную комиссию Покровского района)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- 12 (оформление субсидий, пенсий и пособий - решены положительно)</w:t>
      </w:r>
    </w:p>
    <w:p w:rsidR="00D47BCF" w:rsidRPr="00D47BCF" w:rsidRDefault="00D47BCF" w:rsidP="0028701D">
      <w:pPr>
        <w:spacing w:after="0" w:line="240" w:lineRule="auto"/>
        <w:jc w:val="center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inherit" w:eastAsia="Times New Roman" w:hAnsi="inherit" w:cs="Times New Roman"/>
          <w:b/>
          <w:bCs/>
          <w:color w:val="434343"/>
          <w:sz w:val="24"/>
          <w:szCs w:val="24"/>
          <w:bdr w:val="none" w:sz="0" w:space="0" w:color="auto" w:frame="1"/>
          <w:lang w:eastAsia="ru-RU"/>
        </w:rPr>
        <w:t>Справка о количестве письменных    обращений.</w:t>
      </w:r>
    </w:p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Всего письменных обращений 1, из них: направлено для рассмотрения по существу - 1</w:t>
      </w:r>
    </w:p>
    <w:tbl>
      <w:tblPr>
        <w:tblW w:w="81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2934"/>
      </w:tblGrid>
      <w:tr w:rsidR="00D47BCF" w:rsidRPr="00D47BCF" w:rsidTr="00D47BC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BCF" w:rsidRPr="00D47BCF" w:rsidRDefault="00D47BCF" w:rsidP="00D47BCF">
            <w:pPr>
              <w:spacing w:after="0" w:line="240" w:lineRule="auto"/>
              <w:textAlignment w:val="baseline"/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</w:pPr>
            <w:r w:rsidRPr="00D47BCF"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  <w:t>           Темы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BCF" w:rsidRPr="00D47BCF" w:rsidRDefault="00D47BCF" w:rsidP="00D47BCF">
            <w:pPr>
              <w:spacing w:after="0" w:line="240" w:lineRule="auto"/>
              <w:textAlignment w:val="baseline"/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</w:pPr>
            <w:r w:rsidRPr="00D47BCF"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  <w:t>Кол-во обращений за 2020 г.</w:t>
            </w:r>
          </w:p>
        </w:tc>
      </w:tr>
      <w:tr w:rsidR="00D47BCF" w:rsidRPr="00D47BCF" w:rsidTr="00D47BCF">
        <w:trPr>
          <w:trHeight w:val="334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BCF" w:rsidRPr="00D47BCF" w:rsidRDefault="00D47BCF" w:rsidP="00D47BCF">
            <w:pPr>
              <w:spacing w:after="0" w:line="240" w:lineRule="auto"/>
              <w:textAlignment w:val="baseline"/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</w:pPr>
            <w:r w:rsidRPr="00D47BCF"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  <w:t>Об обследовании жилой квартиры на предмет дальнейшего проживания  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BCF" w:rsidRPr="00D47BCF" w:rsidRDefault="00D47BCF" w:rsidP="00D47BCF">
            <w:pPr>
              <w:spacing w:after="0" w:line="240" w:lineRule="auto"/>
              <w:textAlignment w:val="baseline"/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</w:pPr>
            <w:r w:rsidRPr="00D47BCF">
              <w:rPr>
                <w:rFonts w:ascii="inherit" w:eastAsia="Times New Roman" w:hAnsi="inherit" w:cs="Times New Roman"/>
                <w:b/>
                <w:bCs/>
                <w:color w:val="43434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D47BCF" w:rsidRPr="00D47BCF" w:rsidTr="00D47BC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BCF" w:rsidRPr="00D47BCF" w:rsidRDefault="00D47BCF" w:rsidP="00D47BCF">
            <w:pPr>
              <w:spacing w:after="0" w:line="240" w:lineRule="auto"/>
              <w:textAlignment w:val="baseline"/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</w:pPr>
            <w:r w:rsidRPr="00D47BCF"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BCF" w:rsidRPr="00D47BCF" w:rsidRDefault="00D47BCF" w:rsidP="00D47BCF">
            <w:pPr>
              <w:spacing w:after="0" w:line="240" w:lineRule="auto"/>
              <w:textAlignment w:val="baseline"/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</w:pPr>
            <w:r w:rsidRPr="00D47BCF">
              <w:rPr>
                <w:rFonts w:ascii="PTSans" w:eastAsia="Times New Roman" w:hAnsi="PTSans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</w:tr>
    </w:tbl>
    <w:p w:rsidR="00D47BCF" w:rsidRPr="00D47BCF" w:rsidRDefault="00D47BCF" w:rsidP="00D47BCF">
      <w:pPr>
        <w:spacing w:after="0" w:line="240" w:lineRule="auto"/>
        <w:textAlignment w:val="baseline"/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</w:pPr>
      <w:r w:rsidRPr="00D47BCF">
        <w:rPr>
          <w:rFonts w:ascii="PTSans" w:eastAsia="Times New Roman" w:hAnsi="PTSans" w:cs="Times New Roman"/>
          <w:color w:val="434343"/>
          <w:sz w:val="24"/>
          <w:szCs w:val="24"/>
          <w:lang w:eastAsia="ru-RU"/>
        </w:rPr>
        <w:t> </w:t>
      </w:r>
    </w:p>
    <w:p w:rsidR="00007ED0" w:rsidRDefault="0028701D" w:rsidP="0028701D">
      <w:pPr>
        <w:tabs>
          <w:tab w:val="left" w:pos="3960"/>
        </w:tabs>
      </w:pPr>
      <w:r>
        <w:tab/>
      </w:r>
      <w:bookmarkStart w:id="0" w:name="_GoBack"/>
      <w:bookmarkEnd w:id="0"/>
    </w:p>
    <w:sectPr w:rsidR="0000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F"/>
    <w:rsid w:val="00007ED0"/>
    <w:rsid w:val="0028701D"/>
    <w:rsid w:val="00D4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A61C"/>
  <w15:chartTrackingRefBased/>
  <w15:docId w15:val="{AC442D58-49B4-4008-A861-F645AFB2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2024-04-11T06:33:00Z</dcterms:created>
  <dcterms:modified xsi:type="dcterms:W3CDTF">2024-04-11T06:35:00Z</dcterms:modified>
</cp:coreProperties>
</file>